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F15FD4" w:rsidRPr="00F15FD4" w:rsidRDefault="00F15FD4" w:rsidP="00F817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</w:t>
      </w:r>
      <w:r w:rsidR="00F81753">
        <w:rPr>
          <w:rFonts w:ascii="Arial" w:eastAsia="Times New Roman" w:hAnsi="Arial" w:cs="Arial"/>
          <w:b/>
          <w:sz w:val="20"/>
          <w:szCs w:val="20"/>
          <w:lang w:eastAsia="sl-SI"/>
        </w:rPr>
        <w:t>PRVA OBRAVNAVA</w:t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OBČINSKI SVET</w:t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15FD4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F15FD4" w:rsidRPr="00F15FD4" w:rsidRDefault="00F15FD4" w:rsidP="00F15FD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F15FD4" w:rsidRPr="00F15FD4" w:rsidRDefault="00F15FD4" w:rsidP="00F15FD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DOLOČITVI CENE ZA PRILAGOJEN PROGRAM ZA PREDŠOLSKE OTROKE </w:t>
      </w:r>
      <w:bookmarkStart w:id="1" w:name="_Hlk515543317"/>
      <w:r>
        <w:rPr>
          <w:rFonts w:ascii="Arial" w:eastAsia="Times New Roman" w:hAnsi="Arial" w:cs="Arial"/>
          <w:b/>
          <w:sz w:val="28"/>
          <w:szCs w:val="28"/>
          <w:lang w:eastAsia="sl-SI"/>
        </w:rPr>
        <w:t>V</w:t>
      </w:r>
      <w:r w:rsidRPr="00F15FD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OSNOVN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I</w:t>
      </w:r>
      <w:r w:rsidRPr="00F15FD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ŠOL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I</w:t>
      </w:r>
      <w:r w:rsidRPr="00F15FD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KOZARA NOVA GORICA </w:t>
      </w:r>
      <w:bookmarkEnd w:id="1"/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15FD4" w:rsidRDefault="00F15FD4" w:rsidP="00F15F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1</w:t>
      </w:r>
      <w:r w:rsidRPr="00F15FD4">
        <w:rPr>
          <w:rFonts w:ascii="Arial" w:eastAsia="Times New Roman" w:hAnsi="Arial" w:cs="Arial"/>
          <w:lang w:eastAsia="sl-SI"/>
        </w:rPr>
        <w:t xml:space="preserve">. člen Zakona o </w:t>
      </w:r>
      <w:r>
        <w:rPr>
          <w:rFonts w:ascii="Arial" w:eastAsia="Times New Roman" w:hAnsi="Arial" w:cs="Arial"/>
          <w:lang w:eastAsia="sl-SI"/>
        </w:rPr>
        <w:t xml:space="preserve">vrtcih (Uradni list RS, </w:t>
      </w:r>
      <w:r w:rsidRPr="00F15FD4">
        <w:rPr>
          <w:rFonts w:ascii="Arial" w:eastAsia="Times New Roman" w:hAnsi="Arial" w:cs="Arial"/>
          <w:lang w:eastAsia="sl-SI"/>
        </w:rPr>
        <w:t xml:space="preserve">št. 100/05 – UPB2, 25/08, 98/09 – ZIUZGK, 36/10, 62/10 – ZUPJS, 94/10 – ZIU, 40/12 – ZUJF, 14/15 – ZUUJFO in 55/17, </w:t>
      </w:r>
    </w:p>
    <w:p w:rsidR="00F15FD4" w:rsidRDefault="00F15FD4" w:rsidP="00F15F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20. člen Pravilnika o metodologiji za oblikovanje cen programov v vrtcih, ki izvajajo javno službo (Uradni list RS, št. 97/03, 77/05, 120/05 in 93/15) </w:t>
      </w:r>
    </w:p>
    <w:p w:rsidR="00F15FD4" w:rsidRPr="00F15FD4" w:rsidRDefault="00F15FD4" w:rsidP="00F15F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F15FD4">
        <w:rPr>
          <w:rFonts w:ascii="Arial" w:eastAsia="Times New Roman" w:hAnsi="Arial" w:cs="Arial"/>
          <w:szCs w:val="24"/>
          <w:lang w:eastAsia="sl-SI"/>
        </w:rPr>
        <w:t>88/15 in 14/18</w:t>
      </w:r>
      <w:r w:rsidRPr="00F15FD4">
        <w:rPr>
          <w:rFonts w:ascii="Arial" w:eastAsia="Times New Roman" w:hAnsi="Arial" w:cs="Arial"/>
          <w:lang w:eastAsia="sl-SI"/>
        </w:rPr>
        <w:t>).</w:t>
      </w: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Župan</w:t>
      </w: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524947216"/>
      <w:r w:rsidRPr="00F15FD4">
        <w:rPr>
          <w:rFonts w:ascii="Arial" w:eastAsia="Times New Roman" w:hAnsi="Arial" w:cs="Arial"/>
          <w:lang w:eastAsia="sl-SI"/>
        </w:rPr>
        <w:t xml:space="preserve">Mestna občina Nova Gorica </w:t>
      </w:r>
      <w:bookmarkEnd w:id="2"/>
      <w:r w:rsidRPr="00F15FD4">
        <w:rPr>
          <w:rFonts w:ascii="Arial" w:eastAsia="Times New Roman" w:hAnsi="Arial" w:cs="Arial"/>
          <w:lang w:eastAsia="sl-SI"/>
        </w:rPr>
        <w:t xml:space="preserve">(v nadaljevanju: MONG) je kot sedežna občina soustanoviteljica dne 13. 9. 2019 ostalim občinam soustanoviteljicam dostavila osnutek gradiva za seje občinskih svetov s predlogom </w:t>
      </w:r>
      <w:r>
        <w:rPr>
          <w:rFonts w:ascii="Arial" w:eastAsia="Times New Roman" w:hAnsi="Arial" w:cs="Arial"/>
          <w:lang w:eastAsia="sl-SI"/>
        </w:rPr>
        <w:t>sklepa o določitvi cene za prilag</w:t>
      </w:r>
      <w:r w:rsidR="0086616F">
        <w:rPr>
          <w:rFonts w:ascii="Arial" w:eastAsia="Times New Roman" w:hAnsi="Arial" w:cs="Arial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jen program za predšolske otroke v </w:t>
      </w:r>
      <w:r w:rsidRPr="00F15FD4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i</w:t>
      </w:r>
      <w:r w:rsidRPr="00F15FD4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i</w:t>
      </w:r>
      <w:r w:rsidRPr="00F15FD4">
        <w:rPr>
          <w:rFonts w:ascii="Arial" w:eastAsia="Times New Roman" w:hAnsi="Arial" w:cs="Arial"/>
          <w:lang w:eastAsia="sl-SI"/>
        </w:rPr>
        <w:t xml:space="preserve"> Kozara Nova Gorica. Dne 30. 9. 2019 pa je bilo s strani MONG ostalim občinam sporočeno, da je MONG dne 26. 9. 2019 sprejela predlog </w:t>
      </w:r>
      <w:r>
        <w:rPr>
          <w:rFonts w:ascii="Arial" w:eastAsia="Times New Roman" w:hAnsi="Arial" w:cs="Arial"/>
          <w:lang w:eastAsia="sl-SI"/>
        </w:rPr>
        <w:t>na</w:t>
      </w:r>
      <w:r w:rsidR="0086616F">
        <w:rPr>
          <w:rFonts w:ascii="Arial" w:eastAsia="Times New Roman" w:hAnsi="Arial" w:cs="Arial"/>
          <w:lang w:eastAsia="sl-SI"/>
        </w:rPr>
        <w:t>v</w:t>
      </w:r>
      <w:r>
        <w:rPr>
          <w:rFonts w:ascii="Arial" w:eastAsia="Times New Roman" w:hAnsi="Arial" w:cs="Arial"/>
          <w:lang w:eastAsia="sl-SI"/>
        </w:rPr>
        <w:t>edenega sklepa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 xml:space="preserve">Mestna občina Nova Gorica, Občina Brda, Občina Kanal ob Soči, Občina Miren-Kostanjevica, Občina Renče-Vogrsko in Občina Šempeter-Vrtojba so </w:t>
      </w:r>
      <w:r>
        <w:rPr>
          <w:rFonts w:ascii="Arial" w:eastAsia="Times New Roman" w:hAnsi="Arial" w:cs="Arial"/>
          <w:lang w:eastAsia="sl-SI"/>
        </w:rPr>
        <w:t>so</w:t>
      </w:r>
      <w:r w:rsidRPr="0086616F">
        <w:rPr>
          <w:rFonts w:ascii="Arial" w:eastAsia="Times New Roman" w:hAnsi="Arial" w:cs="Arial"/>
          <w:lang w:eastAsia="sl-SI"/>
        </w:rPr>
        <w:t xml:space="preserve">ustanoviteljice Osnovne šole Kozara Nova Gorica. </w:t>
      </w: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 xml:space="preserve">Starši, ki imajo predšolskega otroka s posebnimi potrebami in živijo na območju občin ustanoviteljic Osnovne šole Kozara Nova Gorica, trenutno nimajo možnosti vključitve otroka v oddelek prilagojenega programa za predšolske otroke – razvojni oddelek vrtca. Otroci z razvojnimi težavami imajo v večini primerov odločbo za dodatno pomoč, ki jo izvajajo specialni pedagogi v vrtcih. Nekateri otroci s težjimi razvojnimi motnjami potrebujejo celostno oskrbo, drugačen program in pomoč različnih strokovnjakov. Prilagojen predšolski program izvajajo v CIRIUS Vipava, kar pa za te otroke pomeni zelo veliko dodatno dnevno obremenitev v obliki prevoza. Razvojna ambulanta v Stari Gori obravnava več otrok z razvojnimi težavami, ki bi potrebovali vključitev v razvojni oddelek. Razvojni oddelek je namenjen predšolskim otrokom s posebnimi potrebami, ki potrebujejo za svoj razvoj spodbudo in strokovno pomoč. Otroci z </w:t>
      </w:r>
      <w:r w:rsidRPr="0086616F">
        <w:rPr>
          <w:rFonts w:ascii="Arial" w:eastAsia="Times New Roman" w:hAnsi="Arial" w:cs="Arial"/>
          <w:lang w:eastAsia="sl-SI"/>
        </w:rPr>
        <w:lastRenderedPageBreak/>
        <w:t xml:space="preserve">izrazitejšimi razvojnimi težavami in primanjkljaji namreč potrebujejo čim zgodnejšo vključitev v celostno obravnavo, saj razvojnih primanjkljajev kasneje ni mogoče več nadoknaditi. Razvojni oddelki so praviloma organizirani pri vrtcih in v nekaterih primerih tudi pri osnovnih šolah s prilagojenim programom in zavodih za otroke s posebnimi potrebami. Po Zakonu o celostni zgodnji obravnavi predšolskih otrok s posebnimi potrebami (Uradni list RS, št. 41/17; v nadaljevanju: ZOPOPP) celostna zgodnja obravnava otrok s posebnimi potrebami in otrok z rizičnimi dejavniki v predšolskem obdobju obsega obravnave otroka in njegove družine v predšolskem obdobju z namenom, da se zagotovi in spodbudi otrokov razvoj, okrepi zmogljivost družine ter spodbudi socialna vključenost družine in otroka. </w:t>
      </w: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>Pred leti je razvojni oddelek vrtca deloval v okviru Vrtca Nova Gorica, vendar je bil ukinjen, saj so se starši raje odločali za vključitev otroka s posebnimi potrebami v redne oddelke vrtca in ne v razvojni oddelek. Kljub vsemu je Vrtec Nova Gorica vsako leto rezerviral oddelek in izvajal vpis v razvojni oddelek vrtca, vendar ni prišlo do minimalnega vpisa za odprtje oddelka. Glede na izražen interes vseh občin ustanoviteljic</w:t>
      </w:r>
      <w:r>
        <w:rPr>
          <w:rFonts w:ascii="Arial" w:eastAsia="Times New Roman" w:hAnsi="Arial" w:cs="Arial"/>
          <w:lang w:eastAsia="sl-SI"/>
        </w:rPr>
        <w:t xml:space="preserve"> in</w:t>
      </w:r>
      <w:r w:rsidRPr="0086616F">
        <w:rPr>
          <w:rFonts w:ascii="Arial" w:eastAsia="Times New Roman" w:hAnsi="Arial" w:cs="Arial"/>
          <w:lang w:eastAsia="sl-SI"/>
        </w:rPr>
        <w:t xml:space="preserve"> Osnovne šole Kozara Nova Gorica se predlaga, da bi Osnovna šola Kozara Nova Gorica organizirala oddelek v prostorih Vrtca Nova Gorica, in sicer v Centralnem vrtcu, ki je lociran v neposredni bližini šole. V oddelku bi bilo vključenih največ šest otrok s posebnimi potrebami.   </w:t>
      </w: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86616F">
        <w:rPr>
          <w:rFonts w:ascii="Arial" w:eastAsia="Times New Roman" w:hAnsi="Arial" w:cs="Arial"/>
          <w:szCs w:val="24"/>
          <w:lang w:eastAsia="sl-SI"/>
        </w:rPr>
        <w:t xml:space="preserve">31. člen Zakona o vrtcih (Uradni list RS, št. 100/05 s spremembami) določa, da cene programov v vrtcih, ki izvajajo javno službo predlaga vrtec, skupaj s predlogom finančnega načrta, pripravljenega v skladu z izhodišči, ki veljajo za občinski proračun, ceno programa pa določi pristojni organ občine ustanoviteljice. </w:t>
      </w: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86616F">
        <w:rPr>
          <w:rFonts w:ascii="Arial" w:eastAsia="Times New Roman" w:hAnsi="Arial" w:cs="Arial"/>
          <w:szCs w:val="24"/>
          <w:lang w:eastAsia="sl-SI"/>
        </w:rPr>
        <w:t>Pravilnik o metodologiji za oblikovanje cen programov v vrtcih, ki izvajajo javno službo (Uradni list RS, št. 97/03 s spremembami, v nadaljevanju: pravilnik) natančno opredeljuje elemente in postopek za izračun cene. Pravilnik določa, da se cene programov usklajujejo enkrat letno, v primeru, da pride do bistvenih sprememb višine posameznih elementov cene programov, pa lahko tudi v vmesnem obdobju. Pristojni organ lokalne skupnosti mora predlog cen programov obravnavati in o tem sprejeti ustrezen sklep najkasneje v 60 dneh po predložitvi predloga cen.</w:t>
      </w: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>Elementi za oblikovanje cen programov so:</w:t>
      </w:r>
    </w:p>
    <w:p w:rsidR="0086616F" w:rsidRPr="0086616F" w:rsidRDefault="0086616F" w:rsidP="0086616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 xml:space="preserve">Stroški dela: sredstva za plače, prispevki delodajalca, davek na plače in drugi stroški dela, kot so regres za letni dopust, povračila stroškov prehrane med delom, povračila stroškov prevoza na delo,.. </w:t>
      </w:r>
    </w:p>
    <w:p w:rsidR="0086616F" w:rsidRPr="0086616F" w:rsidRDefault="0086616F" w:rsidP="0086616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>Stroški materiala in storitev:</w:t>
      </w:r>
    </w:p>
    <w:p w:rsidR="0086616F" w:rsidRPr="0086616F" w:rsidRDefault="0086616F" w:rsidP="0086616F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>- funkcionalni stroški objektov (elektrika, voda, plin, ogrevanje, čiščenje, tekoče   vzdrževanje,…) in</w:t>
      </w:r>
    </w:p>
    <w:p w:rsidR="0086616F" w:rsidRPr="0086616F" w:rsidRDefault="0086616F" w:rsidP="0086616F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>osnovne dejavnosti (didaktična sredstva in igrače, obvezne zdravstvene storitve, varstvo pri delu, strokovno izpopolnjevanje,...).</w:t>
      </w:r>
    </w:p>
    <w:p w:rsidR="0086616F" w:rsidRPr="0086616F" w:rsidRDefault="0086616F" w:rsidP="0086616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t>Stroški živil: živila za tri obroke dnevno in 22 obračunskih dni v koledarskem mesecu.</w:t>
      </w:r>
    </w:p>
    <w:p w:rsid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86616F">
        <w:rPr>
          <w:rFonts w:ascii="Arial" w:eastAsia="Times New Roman" w:hAnsi="Arial" w:cs="Arial"/>
          <w:szCs w:val="24"/>
          <w:lang w:eastAsia="sl-SI"/>
        </w:rPr>
        <w:t>Osnovna šola Kozara Nova Gorica je ekonomsko ceno programa predšolskega oddelka prilagojenega programa</w:t>
      </w:r>
      <w:r w:rsidRPr="0086616F">
        <w:rPr>
          <w:rFonts w:ascii="Arial" w:eastAsia="Times New Roman" w:hAnsi="Arial" w:cs="Arial"/>
          <w:b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Cs w:val="24"/>
          <w:lang w:eastAsia="sl-SI"/>
        </w:rPr>
        <w:t>izračunala na podlagi predpisanega pravilnika.</w:t>
      </w:r>
      <w:r w:rsidRPr="0086616F">
        <w:rPr>
          <w:rFonts w:ascii="Arial" w:eastAsia="Times New Roman" w:hAnsi="Arial" w:cs="Arial"/>
          <w:szCs w:val="24"/>
          <w:lang w:eastAsia="sl-SI"/>
        </w:rPr>
        <w:t xml:space="preserve"> </w:t>
      </w: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86616F" w:rsidRDefault="0086616F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86616F" w:rsidRDefault="0086616F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Ekonomska cena programa razvojnega oddelka vrtca bo določena skladno s predpisi.</w:t>
      </w:r>
    </w:p>
    <w:p w:rsidR="0086616F" w:rsidRDefault="0086616F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 xml:space="preserve">  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6616F" w:rsidRPr="0086616F" w:rsidRDefault="0086616F" w:rsidP="0086616F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86616F">
        <w:rPr>
          <w:rFonts w:ascii="Arial" w:eastAsia="Times New Roman" w:hAnsi="Arial" w:cs="Arial"/>
          <w:lang w:eastAsia="sl-SI"/>
        </w:rPr>
        <w:lastRenderedPageBreak/>
        <w:t xml:space="preserve">Sklep </w:t>
      </w:r>
      <w:r>
        <w:rPr>
          <w:rFonts w:ascii="Arial" w:eastAsia="Times New Roman" w:hAnsi="Arial" w:cs="Arial"/>
          <w:lang w:eastAsia="sl-SI"/>
        </w:rPr>
        <w:t xml:space="preserve">morajo </w:t>
      </w:r>
      <w:r w:rsidRPr="0086616F">
        <w:rPr>
          <w:rFonts w:ascii="Arial" w:eastAsia="Times New Roman" w:hAnsi="Arial" w:cs="Arial"/>
          <w:lang w:eastAsia="sl-SI"/>
        </w:rPr>
        <w:t>v enakem besedilu sprej</w:t>
      </w:r>
      <w:r>
        <w:rPr>
          <w:rFonts w:ascii="Arial" w:eastAsia="Times New Roman" w:hAnsi="Arial" w:cs="Arial"/>
          <w:lang w:eastAsia="sl-SI"/>
        </w:rPr>
        <w:t>eti</w:t>
      </w:r>
      <w:r w:rsidRPr="0086616F">
        <w:rPr>
          <w:rFonts w:ascii="Arial" w:eastAsia="Times New Roman" w:hAnsi="Arial" w:cs="Arial"/>
          <w:lang w:eastAsia="sl-SI"/>
        </w:rPr>
        <w:t xml:space="preserve"> vse soustanoviteljice javnega zavoda Osnovna šola Kozara Nova Gorica, veljavnost sklepa pa je vezana na uveljavitev Odloka o spremembah in dopolnitvah odloka o ustanovitvi javnega zavoda Osnovna šola Kozara Nova Gorica, s katerim se ustanavlja razvojni oddelek.</w:t>
      </w:r>
    </w:p>
    <w:p w:rsid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86616F" w:rsidRPr="00F15FD4" w:rsidRDefault="0086616F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F15FD4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Občin</w:t>
      </w:r>
      <w:r w:rsidR="0086616F">
        <w:rPr>
          <w:rFonts w:ascii="Arial" w:eastAsia="Times New Roman" w:hAnsi="Arial" w:cs="Arial"/>
          <w:lang w:eastAsia="sl-SI"/>
        </w:rPr>
        <w:t xml:space="preserve">e </w:t>
      </w:r>
      <w:r w:rsidRPr="00F15FD4">
        <w:rPr>
          <w:rFonts w:ascii="Arial" w:eastAsia="Times New Roman" w:hAnsi="Arial" w:cs="Arial"/>
          <w:lang w:eastAsia="sl-SI"/>
        </w:rPr>
        <w:t>bo</w:t>
      </w:r>
      <w:r w:rsidR="0086616F">
        <w:rPr>
          <w:rFonts w:ascii="Arial" w:eastAsia="Times New Roman" w:hAnsi="Arial" w:cs="Arial"/>
          <w:lang w:eastAsia="sl-SI"/>
        </w:rPr>
        <w:t xml:space="preserve">do za otroke, za katere so po veljavni zakonodaji dolžne poravnavati razliko med plačili staršev in ekonomsko ceno vrtca, to razliko poravnale 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  <w:r w:rsidR="0086616F">
        <w:rPr>
          <w:rFonts w:ascii="Arial" w:eastAsia="Times New Roman" w:hAnsi="Arial" w:cs="Arial"/>
          <w:lang w:eastAsia="sl-SI"/>
        </w:rPr>
        <w:t>na način, kot to velja za otroke, vključene v javni vrtec. Plačila se bodo</w:t>
      </w:r>
      <w:r w:rsidR="007007A6">
        <w:rPr>
          <w:rFonts w:ascii="Arial" w:eastAsia="Times New Roman" w:hAnsi="Arial" w:cs="Arial"/>
          <w:lang w:eastAsia="sl-SI"/>
        </w:rPr>
        <w:t xml:space="preserve"> izvajala iz proračunske postavke »Ostali vrtci«</w:t>
      </w:r>
    </w:p>
    <w:p w:rsidR="0086616F" w:rsidRDefault="0086616F" w:rsidP="00F15FD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6616F" w:rsidRPr="00F15FD4" w:rsidRDefault="0086616F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F15FD4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F15FD4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F15FD4" w:rsidRPr="00F15FD4" w:rsidRDefault="00D45489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FD4">
        <w:rPr>
          <w:rFonts w:ascii="Arial" w:eastAsia="Times New Roman" w:hAnsi="Arial" w:cs="Arial"/>
          <w:sz w:val="20"/>
          <w:szCs w:val="20"/>
          <w:lang w:eastAsia="sl-SI"/>
        </w:rPr>
        <w:t xml:space="preserve">Predlog </w:t>
      </w:r>
      <w:r>
        <w:rPr>
          <w:rFonts w:ascii="Arial" w:eastAsia="Times New Roman" w:hAnsi="Arial" w:cs="Arial"/>
          <w:sz w:val="20"/>
          <w:szCs w:val="20"/>
          <w:lang w:eastAsia="sl-SI"/>
        </w:rPr>
        <w:t>sklepa</w:t>
      </w:r>
      <w:r w:rsidRPr="00F15FD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F15FD4" w:rsidRPr="00F15FD4" w:rsidRDefault="00F15FD4" w:rsidP="00F15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Times New Roman"/>
          <w:szCs w:val="24"/>
          <w:lang w:eastAsia="sl-SI"/>
        </w:rPr>
        <w:t xml:space="preserve">Na podlagi 31. člena Zakona o vrtcih (Uradni list RS, št. 100/05 – UPB2, </w:t>
      </w:r>
      <w:hyperlink r:id="rId7" w:tgtFrame="_blank" w:tooltip="Zakon o spremembah in dopolnitvah Zakona o vrtcih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25/08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, </w:t>
      </w:r>
      <w:hyperlink r:id="rId8" w:tgtFrame="_blank" w:tooltip="Zakon o interventnih ukrepih zaradi gospodarske krize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98/09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 – ZIUZGK, </w:t>
      </w:r>
      <w:hyperlink r:id="rId9" w:tgtFrame="_blank" w:tooltip="Zakon o spremembah in dopolnitvah Zakona o vrtcih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36/10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, </w:t>
      </w:r>
      <w:hyperlink r:id="rId10" w:tgtFrame="_blank" w:tooltip="Zakon o uveljavljanju pravic iz javnih sredstev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62/10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 – ZUPJS, </w:t>
      </w:r>
      <w:hyperlink r:id="rId11" w:tgtFrame="_blank" w:tooltip="Zakon o interventnih ukrepih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94/10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 – ZIU, </w:t>
      </w:r>
      <w:hyperlink r:id="rId12" w:tgtFrame="_blank" w:tooltip="Zakon za uravnoteženje javnih financ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40/12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 – ZUJF, </w:t>
      </w:r>
      <w:hyperlink r:id="rId13" w:tgtFrame="_blank" w:tooltip="Zakon o ukrepih za uravnoteženje javnih financ občin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14/15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 – ZUUJFO in </w:t>
      </w:r>
      <w:hyperlink r:id="rId14" w:tgtFrame="_blank" w:tooltip="Zakon o spremembah in dopolnitvah Zakona o vrtcih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55/17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 xml:space="preserve">), 20. člena Pravilnika o metodologiji za oblikovanje cen programov v vrtcih, ki izvajajo javno službo (Uradni list RS, št. </w:t>
      </w:r>
      <w:hyperlink r:id="rId15" w:tgtFrame="_blank" w:tooltip="Pravilnik o metodologiji za oblikovanje cen programov v vrtcih, ki izvajajo javno službo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97/03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, </w:t>
      </w:r>
      <w:hyperlink r:id="rId16" w:tgtFrame="_blank" w:tooltip="Pravilnik o spremembah in dopolnitvah pravilnika o metodologiji za oblikovanje cen programov v vrtcih, ki izvajajo javno službo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77/05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, </w:t>
      </w:r>
      <w:hyperlink r:id="rId17" w:tgtFrame="_blank" w:tooltip="Pravilnik o spremembah in dopolnitvah Pravilnika o metodologiji za oblikovanje cen programov v vrtcih, ki izvajajo javno službo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120/05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> in </w:t>
      </w:r>
      <w:hyperlink r:id="rId18" w:tgtFrame="_blank" w:tooltip="Pravilnik o spremembah in dopolnitvah Pravilnika o metodologiji za oblikovanje cen programov v vrtcih, ki izvajajo javno službo" w:history="1">
        <w:r w:rsidRPr="00F81753">
          <w:rPr>
            <w:rFonts w:ascii="Arial" w:eastAsia="Times New Roman" w:hAnsi="Arial" w:cs="Times New Roman"/>
            <w:szCs w:val="24"/>
            <w:lang w:eastAsia="sl-SI"/>
          </w:rPr>
          <w:t>93/15</w:t>
        </w:r>
      </w:hyperlink>
      <w:r w:rsidRPr="00F81753">
        <w:rPr>
          <w:rFonts w:ascii="Arial" w:eastAsia="Times New Roman" w:hAnsi="Arial" w:cs="Times New Roman"/>
          <w:szCs w:val="24"/>
          <w:lang w:eastAsia="sl-SI"/>
        </w:rPr>
        <w:t xml:space="preserve">) so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Mestni svet Mestne občine Nova Gorica na podlagi 19. člena Statuta Mestne občine Nova Gorica (Uradni list RS, št. 13/12, 18/17 in 18/19), na seji dne                  ;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Občinski svet Občine Brda na podlagi 18. člena Statuta Občine Brda (Uradno glasilo </w:t>
      </w:r>
      <w:r w:rsidRPr="00F81753">
        <w:rPr>
          <w:rFonts w:ascii="Arial" w:eastAsia="Times New Roman" w:hAnsi="Arial" w:cs="Arial"/>
          <w:bCs/>
          <w:lang w:eastAsia="sl-SI"/>
        </w:rPr>
        <w:t>slovenskih občin, št. 26/17, 16/18</w:t>
      </w:r>
      <w:r w:rsidRPr="00F81753">
        <w:rPr>
          <w:rFonts w:ascii="Arial" w:eastAsia="Times New Roman" w:hAnsi="Arial" w:cs="Arial"/>
          <w:lang w:eastAsia="sl-SI"/>
        </w:rPr>
        <w:t xml:space="preserve">), na seji dne                    ;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Občinski svet Občine Kanal ob Soči na podlagi</w:t>
      </w:r>
      <w:r w:rsidRPr="00F81753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F81753">
        <w:rPr>
          <w:rFonts w:ascii="Arial" w:eastAsia="Times New Roman" w:hAnsi="Arial" w:cs="Arial"/>
          <w:lang w:eastAsia="sl-SI"/>
        </w:rPr>
        <w:t>16. člena Statuta Občine Kanal ob Soči (Uradni list RS, št. 04/08), na seji dne               ;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Občinski svet Občine Miren-Kostanjevica na podlagi </w:t>
      </w:r>
      <w:r w:rsidRPr="00F81753">
        <w:rPr>
          <w:rFonts w:ascii="Arial" w:eastAsia="Times New Roman" w:hAnsi="Arial" w:cs="Arial"/>
          <w:color w:val="000000"/>
          <w:lang w:eastAsia="sl-SI"/>
        </w:rPr>
        <w:t>7. člena Statuta Občine Miren-Kostanjevica (Uradni list RS, št. 2/2016-UPB, 62/2016)</w:t>
      </w:r>
      <w:r w:rsidRPr="00F81753">
        <w:rPr>
          <w:rFonts w:ascii="Arial" w:eastAsia="Times New Roman" w:hAnsi="Arial" w:cs="Arial"/>
          <w:lang w:eastAsia="sl-SI"/>
        </w:rPr>
        <w:t>, na seji dne                   ;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Občinski svet Občine Renče–Vogrsko na podlagi </w:t>
      </w:r>
      <w:r w:rsidRPr="00F81753">
        <w:rPr>
          <w:rFonts w:ascii="Arial" w:eastAsia="Times New Roman" w:hAnsi="Arial" w:cs="Arial"/>
          <w:color w:val="000000"/>
          <w:lang w:eastAsia="sl-SI"/>
        </w:rPr>
        <w:t>18. člena Statuta Občine Renče-Vogrsko (Uradni list RS, št. 22/12 – UPB, 88/15 in 14/18</w:t>
      </w:r>
      <w:r w:rsidRPr="00F81753">
        <w:rPr>
          <w:rFonts w:ascii="Arial" w:eastAsia="Times New Roman" w:hAnsi="Arial" w:cs="Arial"/>
          <w:lang w:eastAsia="sl-SI"/>
        </w:rPr>
        <w:t xml:space="preserve">), na seji dne              ;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Občinski svet Občine Šempeter-Vrtojba na podlagi 15. člena Statuta Občine Šempeter-Vrtojba (Uradni list. RS, št. 05/18), na seji dne                             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F81753">
        <w:rPr>
          <w:rFonts w:ascii="Arial" w:eastAsia="Times New Roman" w:hAnsi="Arial" w:cs="Times New Roman"/>
          <w:szCs w:val="24"/>
          <w:lang w:eastAsia="sl-SI"/>
        </w:rPr>
        <w:t xml:space="preserve">sprejeli 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</w:p>
    <w:p w:rsidR="00F81753" w:rsidRPr="00F81753" w:rsidRDefault="00F81753" w:rsidP="00F8175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:rsidR="00F81753" w:rsidRPr="00F81753" w:rsidRDefault="00F81753" w:rsidP="00F8175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  <w:r w:rsidRPr="00F81753">
        <w:rPr>
          <w:rFonts w:ascii="Arial" w:eastAsia="Times New Roman" w:hAnsi="Arial" w:cs="Times New Roman"/>
          <w:b/>
          <w:bCs/>
          <w:szCs w:val="24"/>
          <w:lang w:eastAsia="sl-SI"/>
        </w:rPr>
        <w:t xml:space="preserve">S K L E P </w:t>
      </w:r>
    </w:p>
    <w:p w:rsidR="00F81753" w:rsidRPr="00F81753" w:rsidRDefault="00F81753" w:rsidP="00F8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F81753">
        <w:rPr>
          <w:rFonts w:ascii="Arial" w:eastAsia="Times New Roman" w:hAnsi="Arial" w:cs="Arial"/>
          <w:b/>
          <w:bCs/>
          <w:szCs w:val="24"/>
          <w:lang w:eastAsia="sl-SI"/>
        </w:rPr>
        <w:t xml:space="preserve">O DOLOČITVI CENE ZA PRILAGOJEN </w:t>
      </w:r>
      <w:r w:rsidRPr="00F81753">
        <w:rPr>
          <w:rFonts w:ascii="Arial" w:eastAsia="Times New Roman" w:hAnsi="Arial" w:cs="Arial"/>
          <w:b/>
          <w:color w:val="000000"/>
          <w:shd w:val="clear" w:color="auto" w:fill="FFFFFF"/>
          <w:lang w:eastAsia="sl-SI"/>
        </w:rPr>
        <w:t>PROGRAM ZA PREDŠOLSKE OTROKE</w:t>
      </w:r>
      <w:r w:rsidRPr="00F81753">
        <w:rPr>
          <w:rFonts w:ascii="Arial" w:eastAsia="Times New Roman" w:hAnsi="Arial" w:cs="Arial"/>
          <w:b/>
          <w:bCs/>
          <w:szCs w:val="24"/>
          <w:lang w:eastAsia="sl-SI"/>
        </w:rPr>
        <w:t xml:space="preserve"> </w:t>
      </w:r>
    </w:p>
    <w:p w:rsidR="00F81753" w:rsidRPr="00F81753" w:rsidRDefault="00F81753" w:rsidP="00F8175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  <w:r w:rsidRPr="00F81753">
        <w:rPr>
          <w:rFonts w:ascii="Arial" w:eastAsia="Times New Roman" w:hAnsi="Arial" w:cs="Arial"/>
          <w:b/>
          <w:bCs/>
          <w:szCs w:val="24"/>
          <w:lang w:eastAsia="sl-SI"/>
        </w:rPr>
        <w:t xml:space="preserve">V OSNOVNI ŠOLI KOZARA NOVA GORICA </w:t>
      </w:r>
    </w:p>
    <w:p w:rsidR="00F81753" w:rsidRPr="00F81753" w:rsidRDefault="00F81753" w:rsidP="00F8175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:rsidR="00F81753" w:rsidRPr="00F81753" w:rsidRDefault="00F81753" w:rsidP="00F8175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:rsidR="00F81753" w:rsidRPr="00F81753" w:rsidRDefault="00F81753" w:rsidP="00F8175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:rsidR="00F81753" w:rsidRPr="00F81753" w:rsidRDefault="00F81753" w:rsidP="00F8175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 xml:space="preserve">    1.</w:t>
      </w:r>
    </w:p>
    <w:p w:rsidR="00F81753" w:rsidRPr="00F81753" w:rsidRDefault="00F81753" w:rsidP="00F81753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 xml:space="preserve">S tem sklepom se določi cena za prilagojen </w:t>
      </w:r>
      <w:r w:rsidRPr="00F81753">
        <w:rPr>
          <w:rFonts w:ascii="Arial" w:eastAsia="Times New Roman" w:hAnsi="Arial" w:cs="Arial"/>
          <w:color w:val="000000"/>
          <w:shd w:val="clear" w:color="auto" w:fill="FFFFFF"/>
          <w:lang w:eastAsia="sl-SI"/>
        </w:rPr>
        <w:t xml:space="preserve">program za predšolske otroke (v nadaljevanju: razvojni oddelek) </w:t>
      </w:r>
      <w:r w:rsidRPr="00F81753">
        <w:rPr>
          <w:rFonts w:ascii="Arial" w:eastAsia="Times New Roman" w:hAnsi="Arial" w:cs="Arial"/>
          <w:szCs w:val="24"/>
          <w:lang w:eastAsia="sl-SI"/>
        </w:rPr>
        <w:t xml:space="preserve">v Osnovni šoli Kozara Nova Gorica. 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 xml:space="preserve">    2.</w:t>
      </w:r>
    </w:p>
    <w:p w:rsidR="00F81753" w:rsidRPr="00F81753" w:rsidRDefault="00F81753" w:rsidP="00F8175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>Ekonomska cena razvojnega oddelka v Osnovni šoli Kozara Nova Gorica znaša 1.269,64 EUR na mesec.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lastRenderedPageBreak/>
        <w:t xml:space="preserve"> 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F81753">
        <w:rPr>
          <w:rFonts w:ascii="Arial" w:eastAsia="Times New Roman" w:hAnsi="Arial" w:cs="Times New Roman"/>
          <w:szCs w:val="24"/>
          <w:lang w:eastAsia="sl-SI"/>
        </w:rPr>
        <w:t>Cena poldnevnega programa znaša 1.075,34 EUR, cena poldnevnega programa brez kosila je nižja od poldnevnega programa za strošek kosila in tako znaša 1.043,66 EUR.</w:t>
      </w:r>
    </w:p>
    <w:p w:rsidR="00F81753" w:rsidRDefault="00F81753" w:rsidP="00F8175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0E3DE7" w:rsidRPr="00F81753" w:rsidRDefault="000E3DE7" w:rsidP="00F8175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tabs>
          <w:tab w:val="left" w:pos="360"/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 xml:space="preserve">   3.</w:t>
      </w:r>
    </w:p>
    <w:p w:rsidR="00F81753" w:rsidRPr="00F81753" w:rsidRDefault="00F81753" w:rsidP="00F81753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V primerih odsotnosti otroka se cena programa zniža za stroške neporabljenih živil, in sicer: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za dnevni program: 41,80 EUR mesečno oz. 1,90 EUR dnevno,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poldnevni program: 31,68 EUR mesečno oz. 1,44 EUR dnevno,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poldnevni program brez kosila: 14,96 EUR mesečno oz. 0,68 EUR dnevno, 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z upoštevanjem dejanskih delovnih dni, če starši o otrokovi odsotnosti obvestijo Osnovno šolo Kozara Nova Gorica najkasneje do 8.00 ure prvega dne otrokove odsotnosti. Materialni stroški v vrtcih znašajo mesečno na otroka 40 EUR. </w:t>
      </w:r>
    </w:p>
    <w:p w:rsidR="00F81753" w:rsidRPr="00F81753" w:rsidRDefault="00F81753" w:rsidP="00F81753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 xml:space="preserve">  4.</w:t>
      </w:r>
    </w:p>
    <w:p w:rsidR="00F81753" w:rsidRPr="00F81753" w:rsidRDefault="00F81753" w:rsidP="00F8175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>Glede ostalih pogojev izvajanja programa razvojnega oddelka se uporabljajo določila naslednjih sklepov: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 xml:space="preserve">za Mestno občino Nova Gorica: Sklep Mestnega sveta Mestne občine Nova Gorica št. 602-8/2018-31 z dne 21.03.2019,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za Občino Brda: Sklep Občinskega sveta Občine Brda št. 0141-37/2019-03 z dne 10.09.2019, 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za Občino Kanal ob Soči: Sklep Občinskega sveta Občine Kanal ob Soči št. 9000-0001/2018-8 z dne 01.02.2018,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za Občino Miren-Kostanjevica: Sklep Občinskega sveta Občine Miren-Kostanjevica št. 602-001/2019-3 z dne 19.02.2019,</w:t>
      </w:r>
    </w:p>
    <w:p w:rsidR="00F81753" w:rsidRPr="00F81753" w:rsidRDefault="00F81753" w:rsidP="00F8175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za Občino Šempeter-Vrtojba: Sklep Občinskega sveta Občine Šempeter-Vrtojba št. 01101-17/2016-2 z dne 20.10.2016.</w:t>
      </w:r>
      <w:r w:rsidRPr="00F81753">
        <w:rPr>
          <w:rFonts w:ascii="Arial" w:eastAsia="Times New Roman" w:hAnsi="Arial" w:cs="Arial"/>
          <w:szCs w:val="24"/>
          <w:lang w:eastAsia="sl-SI"/>
        </w:rPr>
        <w:t xml:space="preserve"> </w:t>
      </w:r>
    </w:p>
    <w:p w:rsidR="00F81753" w:rsidRDefault="00F81753" w:rsidP="00F8175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0E3DE7" w:rsidRPr="00F81753" w:rsidRDefault="000E3DE7" w:rsidP="00F8175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81753">
        <w:rPr>
          <w:rFonts w:ascii="Arial" w:eastAsia="Times New Roman" w:hAnsi="Arial" w:cs="Arial"/>
          <w:szCs w:val="24"/>
          <w:lang w:eastAsia="sl-SI"/>
        </w:rPr>
        <w:t>5.</w:t>
      </w:r>
    </w:p>
    <w:p w:rsidR="00F81753" w:rsidRPr="00F81753" w:rsidRDefault="00F81753" w:rsidP="00F8175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>Sklep je sprejet, ko ga v enakem besedilu sprejmejo občinski sveti vseh občin soustanoviteljic. Sklep prične veljati z dnem uveljavitve Odloka o spremembah in dopolnitvah odloka o ustanovitvi javnega zavoda Osnovna šola Kozara Nova Gorica, s katerim se ustanavlja  enota Vrtec pri OŠ Kozara Nova Gorica.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1753">
        <w:rPr>
          <w:rFonts w:ascii="Arial" w:eastAsia="Times New Roman" w:hAnsi="Arial" w:cs="Arial"/>
          <w:lang w:eastAsia="sl-SI"/>
        </w:rPr>
        <w:t xml:space="preserve">Mestna občina Nova Gorica, Občina Kanal, Občina Miren–Kostanjevica in Občina Šempeter–Vrtojba objavijo ta sklep v Uradnem listu RS, Občina Renče-Vogrsko ga objavi v svojih uradnih objavah, Občina Brda pa v Uradnem glasilu slovenskih občin. </w:t>
      </w: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81753" w:rsidRPr="00F81753" w:rsidRDefault="00F81753" w:rsidP="00F8175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F81753" w:rsidRPr="00F81753" w:rsidTr="00910FB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81753" w:rsidRPr="00F81753" w:rsidRDefault="00F81753" w:rsidP="00F8175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Times New Roman"/>
                <w:szCs w:val="24"/>
                <w:lang w:eastAsia="sl-SI"/>
              </w:rPr>
              <w:t>Številka: 602-8/2019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Datum:   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lastRenderedPageBreak/>
              <w:t>Številka: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81753" w:rsidRPr="00F81753" w:rsidRDefault="00F81753" w:rsidP="00F8175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81753" w:rsidRPr="00F81753" w:rsidRDefault="00F81753" w:rsidP="00F81753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lastRenderedPageBreak/>
              <w:t>Mestna občina Nova Gorica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Župan, dr. Klemen Miklavič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Občina Brda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Župan, Franc Mužič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lastRenderedPageBreak/>
              <w:t>Občina Kanal ob Soči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Županja, Tina Gerbec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Občina Miren-Kostanjevica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 xml:space="preserve">Župan, </w:t>
            </w:r>
            <w:proofErr w:type="spellStart"/>
            <w:r w:rsidRPr="00F81753">
              <w:rPr>
                <w:rFonts w:ascii="Arial" w:eastAsia="Times New Roman" w:hAnsi="Arial" w:cs="Arial"/>
                <w:b/>
                <w:lang w:eastAsia="sl-SI"/>
              </w:rPr>
              <w:t>Mauricij</w:t>
            </w:r>
            <w:proofErr w:type="spellEnd"/>
            <w:r w:rsidRPr="00F81753">
              <w:rPr>
                <w:rFonts w:ascii="Arial" w:eastAsia="Times New Roman" w:hAnsi="Arial" w:cs="Arial"/>
                <w:b/>
                <w:lang w:eastAsia="sl-SI"/>
              </w:rPr>
              <w:t xml:space="preserve"> Humar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Občina Renče-Vogrsko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Župan, Tarik Žigon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Občina Šempeter-Vrtojba</w:t>
            </w:r>
          </w:p>
          <w:p w:rsidR="00F81753" w:rsidRPr="00F81753" w:rsidRDefault="00F81753" w:rsidP="00F81753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</w:pPr>
            <w:r w:rsidRPr="00F81753">
              <w:rPr>
                <w:rFonts w:ascii="Arial" w:eastAsia="Times New Roman" w:hAnsi="Arial" w:cs="Arial"/>
                <w:b/>
                <w:lang w:eastAsia="sl-SI"/>
              </w:rPr>
              <w:t>Župan, Milan Turk</w:t>
            </w:r>
          </w:p>
          <w:p w:rsidR="00F81753" w:rsidRPr="00F81753" w:rsidRDefault="00F81753" w:rsidP="00F8175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</w:tbl>
    <w:p w:rsidR="00F15FD4" w:rsidRPr="00F15FD4" w:rsidRDefault="00F15FD4" w:rsidP="00F15FD4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p w:rsidR="00F15FD4" w:rsidRPr="00F15FD4" w:rsidRDefault="00F15FD4" w:rsidP="00F15FD4"/>
    <w:p w:rsidR="00C5759D" w:rsidRDefault="00C5759D"/>
    <w:sectPr w:rsidR="00C5759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08" w:rsidRDefault="00EE1C08" w:rsidP="00EE1C08">
      <w:pPr>
        <w:spacing w:after="0" w:line="240" w:lineRule="auto"/>
      </w:pPr>
      <w:r>
        <w:separator/>
      </w:r>
    </w:p>
  </w:endnote>
  <w:endnote w:type="continuationSeparator" w:id="0">
    <w:p w:rsidR="00EE1C08" w:rsidRDefault="00EE1C08" w:rsidP="00EE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08" w:rsidRDefault="00EE1C08" w:rsidP="00EE1C08">
      <w:pPr>
        <w:spacing w:after="0" w:line="240" w:lineRule="auto"/>
      </w:pPr>
      <w:r>
        <w:separator/>
      </w:r>
    </w:p>
  </w:footnote>
  <w:footnote w:type="continuationSeparator" w:id="0">
    <w:p w:rsidR="00EE1C08" w:rsidRDefault="00EE1C08" w:rsidP="00EE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04" w:rsidRPr="00636804" w:rsidRDefault="00636804" w:rsidP="00636804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40"/>
        <w:szCs w:val="40"/>
      </w:rPr>
    </w:pPr>
    <w:r w:rsidRPr="00636804">
      <w:rPr>
        <w:rFonts w:ascii="Arial" w:hAnsi="Arial" w:cs="Arial"/>
        <w:color w:val="999999"/>
        <w:sz w:val="40"/>
        <w:szCs w:val="40"/>
      </w:rPr>
      <w:t xml:space="preserve">7. </w:t>
    </w:r>
    <w:r w:rsidRPr="00636804">
      <w:rPr>
        <w:rFonts w:ascii="Arial" w:hAnsi="Arial" w:cs="Arial"/>
        <w:color w:val="999999"/>
        <w:sz w:val="40"/>
        <w:szCs w:val="40"/>
      </w:rPr>
      <w:t>redna seja</w:t>
    </w:r>
    <w:r w:rsidRPr="00636804">
      <w:rPr>
        <w:rFonts w:ascii="Arial" w:hAnsi="Arial" w:cs="Arial"/>
        <w:color w:val="999999"/>
        <w:sz w:val="40"/>
        <w:szCs w:val="40"/>
      </w:rPr>
      <w:tab/>
    </w:r>
    <w:r w:rsidRPr="00636804">
      <w:rPr>
        <w:rFonts w:ascii="Arial" w:hAnsi="Arial" w:cs="Arial"/>
        <w:color w:val="999999"/>
        <w:sz w:val="40"/>
        <w:szCs w:val="40"/>
      </w:rPr>
      <w:tab/>
    </w:r>
    <w:r w:rsidR="00D45489">
      <w:rPr>
        <w:rFonts w:ascii="Arial" w:hAnsi="Arial" w:cs="Arial"/>
        <w:color w:val="999999"/>
        <w:sz w:val="40"/>
        <w:szCs w:val="40"/>
      </w:rPr>
      <w:t>5</w:t>
    </w:r>
    <w:r w:rsidRPr="00636804">
      <w:rPr>
        <w:rFonts w:ascii="Arial" w:hAnsi="Arial" w:cs="Arial"/>
        <w:color w:val="999999"/>
        <w:sz w:val="40"/>
        <w:szCs w:val="40"/>
      </w:rPr>
      <w:t>. točka</w:t>
    </w:r>
  </w:p>
  <w:p w:rsidR="00636804" w:rsidRDefault="0063680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27147"/>
    <w:multiLevelType w:val="hybridMultilevel"/>
    <w:tmpl w:val="24B455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A880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A0144"/>
    <w:multiLevelType w:val="hybridMultilevel"/>
    <w:tmpl w:val="8684E79E"/>
    <w:lvl w:ilvl="0" w:tplc="89C27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4"/>
    <w:rsid w:val="000E3DE7"/>
    <w:rsid w:val="00636804"/>
    <w:rsid w:val="007007A6"/>
    <w:rsid w:val="0086616F"/>
    <w:rsid w:val="00C5759D"/>
    <w:rsid w:val="00D45489"/>
    <w:rsid w:val="00EE1C08"/>
    <w:rsid w:val="00F15FD4"/>
    <w:rsid w:val="00F8175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E8BE97-BC6D-448B-9A40-469B0060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1C08"/>
  </w:style>
  <w:style w:type="paragraph" w:styleId="Noga">
    <w:name w:val="footer"/>
    <w:basedOn w:val="Navaden"/>
    <w:link w:val="NogaZnak"/>
    <w:uiPriority w:val="99"/>
    <w:unhideWhenUsed/>
    <w:rsid w:val="00EE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285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5-01-369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8-01-0911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05-01-55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01-34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4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3-01-4341" TargetMode="External"/><Relationship Id="rId10" Type="http://schemas.openxmlformats.org/officeDocument/2006/relationships/hyperlink" Target="http://www.uradni-list.si/1/objava.jsp?sop=2010-01-338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737" TargetMode="External"/><Relationship Id="rId14" Type="http://schemas.openxmlformats.org/officeDocument/2006/relationships/hyperlink" Target="http://www.uradni-list.si/1/objava.jsp?sop=2017-01-252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dcterms:created xsi:type="dcterms:W3CDTF">2019-10-08T07:06:00Z</dcterms:created>
  <dcterms:modified xsi:type="dcterms:W3CDTF">2019-10-08T07:29:00Z</dcterms:modified>
</cp:coreProperties>
</file>