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A396" w14:textId="77777777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D9170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OBČINA RENČE-VOGRSKO</w:t>
      </w:r>
      <w:r w:rsidRPr="00D9170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  <w:t>PREDLOG</w:t>
      </w:r>
      <w:r w:rsidRPr="00D9170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  <w:t xml:space="preserve">                  OBČINSKI SVET</w:t>
      </w:r>
      <w:r w:rsidRPr="00D9170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b/>
          <w:color w:val="00CCFF"/>
          <w:kern w:val="0"/>
          <w:sz w:val="20"/>
          <w:szCs w:val="20"/>
          <w:lang w:eastAsia="sl-SI"/>
          <w14:ligatures w14:val="none"/>
        </w:rPr>
        <w:t xml:space="preserve">                                </w:t>
      </w:r>
    </w:p>
    <w:p w14:paraId="2A33789A" w14:textId="77777777" w:rsidR="00D91708" w:rsidRPr="00D91708" w:rsidRDefault="00D91708" w:rsidP="00D91708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  <w:r w:rsidRPr="00D91708"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  <w:t xml:space="preserve">               </w:t>
      </w:r>
    </w:p>
    <w:p w14:paraId="13A66DE3" w14:textId="77777777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2D24AF2" w14:textId="77777777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  <w:r w:rsidRPr="00D91708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NASLOV:</w:t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</w:t>
      </w:r>
    </w:p>
    <w:p w14:paraId="08920993" w14:textId="77777777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6585EFFE" w14:textId="1DD64823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SKLEP O RAZPOREDITVI PORABE PRESEŽKA PRIHODKOV NAD ODHODKI JAVNEGA ZAVODA</w:t>
      </w:r>
      <w:r w:rsidRPr="00D9170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 OSNOVN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A</w:t>
      </w:r>
      <w:r w:rsidRPr="00D9170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 ŠOL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A</w:t>
      </w:r>
      <w:r w:rsidRPr="00D9170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 LUCIJANA BRATKOVIČA BRATUŠA RENČE</w:t>
      </w:r>
    </w:p>
    <w:p w14:paraId="5E54C7D3" w14:textId="77777777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582E0B6" w14:textId="77777777" w:rsidR="00D91708" w:rsidRPr="00D91708" w:rsidRDefault="00D91708" w:rsidP="00D91708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38F39802" w14:textId="77777777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  <w:r w:rsidRPr="00D91708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PRAVNA PODLAGA:</w:t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</w:t>
      </w:r>
    </w:p>
    <w:p w14:paraId="741B6229" w14:textId="77777777" w:rsidR="00D91708" w:rsidRPr="00D91708" w:rsidRDefault="00D91708" w:rsidP="00D9170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485B4A0" w14:textId="29EFD36F" w:rsidR="00D91708" w:rsidRDefault="00D91708" w:rsidP="00D917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bookmarkStart w:id="0" w:name="_Hlk161654290"/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48</w:t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. člen Zakona o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zavodih</w:t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bookmarkStart w:id="1" w:name="_Hlk74655201"/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(Uradni list RS, št. 12/91, 8/96, 36/00 – ZPDZC in 127/06 – ZJZP)</w:t>
      </w:r>
      <w:bookmarkEnd w:id="0"/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</w:p>
    <w:p w14:paraId="32B77CBC" w14:textId="0C5B52DD" w:rsidR="00364C21" w:rsidRPr="00D91708" w:rsidRDefault="00364C21" w:rsidP="00D917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bookmarkStart w:id="2" w:name="_Hlk161654316"/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35. člen Odloka o ustanovitvi javnega zavoda Osnovna šola Lucijana Bratkoviča Bratuša Renče (</w:t>
      </w:r>
      <w:r w:rsidRPr="00364C2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Uradno glasilo št. 20/96, 13/98 in Uradne objave – Časopis OKO, št. 12/01, 9/2002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ter</w:t>
      </w:r>
      <w:r w:rsidRPr="00364C2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Uradne objave v Občinskem glasilu, št.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9/08, </w:t>
      </w:r>
      <w:r w:rsidRPr="00364C2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11/08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</w:t>
      </w:r>
      <w:r w:rsidRPr="00364C2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št. 5/10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in 9/2022</w:t>
      </w:r>
      <w:r w:rsidRPr="00364C21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)</w:t>
      </w:r>
    </w:p>
    <w:bookmarkEnd w:id="1"/>
    <w:bookmarkEnd w:id="2"/>
    <w:p w14:paraId="586F25E8" w14:textId="77777777" w:rsidR="00D91708" w:rsidRPr="00D91708" w:rsidRDefault="00D91708" w:rsidP="00D917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18. člen Statuta Občine Renče-Vogrsko (Uradni list RS, št. 22/12 – uradno prečiščeno besedilo, 88/15 in 14/18)</w:t>
      </w:r>
    </w:p>
    <w:p w14:paraId="3B0E0F92" w14:textId="77777777" w:rsidR="00D91708" w:rsidRPr="00D91708" w:rsidRDefault="00D91708" w:rsidP="00D9170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25782929" w14:textId="77777777" w:rsidR="00D91708" w:rsidRPr="00D91708" w:rsidRDefault="00D91708" w:rsidP="00D9170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0DCFCA90" w14:textId="77777777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  <w:r w:rsidRPr="00D91708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PREDLAGATELJ:</w:t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</w:t>
      </w:r>
    </w:p>
    <w:p w14:paraId="779AA06B" w14:textId="77777777" w:rsidR="00D91708" w:rsidRPr="00D91708" w:rsidRDefault="00D91708" w:rsidP="00D9170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02092C39" w14:textId="77777777" w:rsidR="00D91708" w:rsidRPr="00D91708" w:rsidRDefault="00D91708" w:rsidP="00D9170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Tarik Žigon, župan</w:t>
      </w:r>
    </w:p>
    <w:p w14:paraId="34F24A38" w14:textId="77777777" w:rsidR="00D91708" w:rsidRPr="00D91708" w:rsidRDefault="00D91708" w:rsidP="00D9170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E161312" w14:textId="77777777" w:rsidR="00D91708" w:rsidRPr="00D91708" w:rsidRDefault="00D91708" w:rsidP="00D91708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3FE68A62" w14:textId="77777777" w:rsidR="00D91708" w:rsidRPr="00D91708" w:rsidRDefault="00D91708" w:rsidP="00D9170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D91708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PRIPRAVLJALEC:</w:t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</w:p>
    <w:p w14:paraId="0A579A36" w14:textId="77777777" w:rsidR="00D91708" w:rsidRPr="00D91708" w:rsidRDefault="00D91708" w:rsidP="00D9170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DC3BD77" w14:textId="77777777" w:rsidR="00D91708" w:rsidRPr="00D91708" w:rsidRDefault="00D91708" w:rsidP="00D9170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Župan, občinska uprava </w:t>
      </w:r>
    </w:p>
    <w:p w14:paraId="394872BF" w14:textId="77777777" w:rsidR="00D91708" w:rsidRPr="00D91708" w:rsidRDefault="00D91708" w:rsidP="00D9170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2B66CE2C" w14:textId="77777777" w:rsidR="00D91708" w:rsidRPr="00D91708" w:rsidRDefault="00D91708" w:rsidP="00D91708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22003E16" w14:textId="77777777" w:rsidR="00D91708" w:rsidRPr="00D91708" w:rsidRDefault="00D91708" w:rsidP="00D91708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D91708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 xml:space="preserve">OBRAZLOŽITEV:  </w:t>
      </w:r>
    </w:p>
    <w:p w14:paraId="7E5A8C22" w14:textId="77777777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2BEF2C1" w14:textId="03975F0E" w:rsid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Osnovna šola Lucijana Bratkoviča Bratuša Renče (v nadaljevanju: </w:t>
      </w:r>
      <w:r w:rsidR="00567ED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z</w:t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avod) je na Občino Renče-Vogrsko dne 1</w:t>
      </w:r>
      <w:r w:rsidR="009B5B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4</w:t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. </w:t>
      </w:r>
      <w:r w:rsidR="009B5B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3</w:t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. 202</w:t>
      </w:r>
      <w:r w:rsidR="009B5B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4</w:t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vložila </w:t>
      </w:r>
      <w:r w:rsidR="009B5B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prošnjo</w:t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za izdajo sogla</w:t>
      </w:r>
      <w:r w:rsidR="009B5B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sja</w:t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k </w:t>
      </w:r>
      <w:r w:rsidR="009B5B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predlogu o razporeditvi presežka prihodkov nad odhodki OŠ Renče za 2023, ki ga je Svet zavoda v sklepu št. 900-4/2024-4 sprejel dne 28. 2. 2024 na 11. izredni seji. Vlogi je priložen navedeni sklep, iz katerega izhaja, da zavod Osnovna šola Lucijana Bratkoviča Bratuša Renče zaprosi ustanovitelja Občino Renče-Vogrsko, da namenijo </w:t>
      </w:r>
      <w:bookmarkStart w:id="3" w:name="_Hlk161654431"/>
      <w:r w:rsidR="009B5B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ustvarje</w:t>
      </w:r>
      <w:r w:rsidR="00CA5E46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n presežek prihodkov iz naslova tržne dejavnosti v višini 237 EUR za nakup kuhinjskih pripomočkov</w:t>
      </w:r>
      <w:r w:rsidR="001C587F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in ustvarjen presežek iz naslova javne službe v višini 118 EUR pustijo nerazporejen.</w:t>
      </w:r>
    </w:p>
    <w:bookmarkEnd w:id="3"/>
    <w:p w14:paraId="4DAA58EF" w14:textId="77777777" w:rsidR="00D91708" w:rsidRPr="00D91708" w:rsidRDefault="00D91708" w:rsidP="00567ED2">
      <w:p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1B22B745" w14:textId="77777777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D91708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RAZLOGI ZA SPREJETJE SKLEPA:</w:t>
      </w:r>
    </w:p>
    <w:p w14:paraId="1DDDA1DE" w14:textId="77777777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A978648" w14:textId="16E632C6" w:rsidR="00D91708" w:rsidRDefault="001C587F" w:rsidP="00D9170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Drugi odstavek 35. člena Odloka o ustanovitvi javnega zavoda Osnovna šola Lucijana Bratkoviča Bratuša Renče (v nadaljevanju: odlok) določa, da se presežek prihodkov nad odhodki, ki jih zavod pridobi s prodajo proizvodov oz. storitev, ustvarjenih z opravljanjem vzgoje in izobraževanja oz. z opravljanjem drugih dejavnosti v skladu s tem odlokom, uporablja za </w:t>
      </w:r>
      <w:bookmarkStart w:id="4" w:name="_Hlk161653068"/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plačilo materialnih stroškov, investicijsko vzdrževanje in investicije</w:t>
      </w:r>
      <w:bookmarkEnd w:id="4"/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, po predhodnem soglasju ustanovitelja pa tudi za plače. Drugi odstavek tega člena pa določa, da merila za delitev presežka prihodkov nad odhodki v zavodu določi minister. </w:t>
      </w:r>
    </w:p>
    <w:p w14:paraId="0AF0EC3F" w14:textId="77777777" w:rsidR="00567ED2" w:rsidRDefault="00567ED2" w:rsidP="00D9170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0BBC546" w14:textId="77777777" w:rsidR="00567ED2" w:rsidRDefault="00567ED2" w:rsidP="00567ED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Drugi odstavek 48. člena Zakona o zavodih določa, da </w:t>
      </w:r>
      <w:r w:rsidRPr="001C587F">
        <w:rPr>
          <w:rFonts w:ascii="Arial" w:eastAsia="Times New Roman" w:hAnsi="Arial" w:cs="Arial"/>
          <w:kern w:val="0"/>
          <w:sz w:val="20"/>
          <w:szCs w:val="20"/>
          <w:lang w:val="x-none" w:eastAsia="sl-SI"/>
          <w14:ligatures w14:val="none"/>
        </w:rPr>
        <w:t xml:space="preserve">sme zavod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</w:t>
      </w:r>
      <w:proofErr w:type="spellStart"/>
      <w:r w:rsidRPr="001C587F">
        <w:rPr>
          <w:rFonts w:ascii="Arial" w:eastAsia="Times New Roman" w:hAnsi="Arial" w:cs="Arial"/>
          <w:kern w:val="0"/>
          <w:sz w:val="20"/>
          <w:szCs w:val="20"/>
          <w:lang w:val="x-none" w:eastAsia="sl-SI"/>
          <w14:ligatures w14:val="none"/>
        </w:rPr>
        <w:t>resežek</w:t>
      </w:r>
      <w:proofErr w:type="spellEnd"/>
      <w:r w:rsidRPr="001C587F">
        <w:rPr>
          <w:rFonts w:ascii="Arial" w:eastAsia="Times New Roman" w:hAnsi="Arial" w:cs="Arial"/>
          <w:kern w:val="0"/>
          <w:sz w:val="20"/>
          <w:szCs w:val="20"/>
          <w:lang w:val="x-none" w:eastAsia="sl-SI"/>
          <w14:ligatures w14:val="none"/>
        </w:rPr>
        <w:t xml:space="preserve"> prihodkov nad odhodki uporabiti le za opravljanje in razvoj dejavnosti, če ni z aktom o ustanovitvi drugače določeno.</w:t>
      </w:r>
    </w:p>
    <w:p w14:paraId="72A6176F" w14:textId="77777777" w:rsidR="00457335" w:rsidRDefault="00457335" w:rsidP="00567ED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sl-SI"/>
          <w14:ligatures w14:val="none"/>
        </w:rPr>
      </w:pPr>
    </w:p>
    <w:p w14:paraId="23DBBDD4" w14:textId="062D1401" w:rsidR="00457335" w:rsidRPr="00D91708" w:rsidRDefault="00457335" w:rsidP="00567ED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val="x-none" w:eastAsia="sl-SI"/>
          <w14:ligatures w14:val="none"/>
        </w:rPr>
        <w:t xml:space="preserve">Iz navedenega torej sledi, </w:t>
      </w:r>
      <w:r w:rsidR="00B86558">
        <w:rPr>
          <w:rFonts w:ascii="Arial" w:eastAsia="Times New Roman" w:hAnsi="Arial" w:cs="Arial"/>
          <w:kern w:val="0"/>
          <w:sz w:val="20"/>
          <w:szCs w:val="20"/>
          <w:lang w:val="x-none" w:eastAsia="sl-SI"/>
          <w14:ligatures w14:val="none"/>
        </w:rPr>
        <w:t>da lahko</w:t>
      </w:r>
      <w:r>
        <w:rPr>
          <w:rFonts w:ascii="Arial" w:eastAsia="Times New Roman" w:hAnsi="Arial" w:cs="Arial"/>
          <w:kern w:val="0"/>
          <w:sz w:val="20"/>
          <w:szCs w:val="20"/>
          <w:lang w:val="x-none" w:eastAsia="sl-SI"/>
          <w14:ligatures w14:val="none"/>
        </w:rPr>
        <w:t xml:space="preserve"> zavod presežek prihodkov nad odhodki </w:t>
      </w:r>
      <w:r w:rsidR="00B8655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plačilo materialnih stroškov, investicijsko vzdrževanje in investicije iz naslova javne službe</w:t>
      </w:r>
      <w:r w:rsidR="00381565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 iz vloge pa ne izhaja, ali gre za nabavo kuhinjskih pripomočkov za pripravo hrane v okviru javne službe (vrtec), ali za pripravo hrane v okviru plačil s strani pristojnega ministrstva, staršev ali tržne dejavnosti kuhinje.</w:t>
      </w:r>
    </w:p>
    <w:p w14:paraId="7014DBF5" w14:textId="77777777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2B34178B" w14:textId="77777777" w:rsidR="00381565" w:rsidRDefault="00381565" w:rsidP="00457335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1ECED3F6" w14:textId="7FA655BC" w:rsidR="00381565" w:rsidRDefault="00D91708" w:rsidP="00457335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D91708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lastRenderedPageBreak/>
        <w:t>OCENA STANJA:</w:t>
      </w:r>
    </w:p>
    <w:p w14:paraId="7B08F397" w14:textId="77777777" w:rsidR="00381565" w:rsidRDefault="00381565" w:rsidP="00457335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08E0575C" w14:textId="0877E7EC" w:rsidR="00457335" w:rsidRDefault="00567ED2" w:rsidP="00457335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67ED2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 xml:space="preserve">Svet zavoda </w:t>
      </w:r>
      <w:r w:rsidR="00457335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 xml:space="preserve">je na svoji 11. izredni seji obravnaval in sprejel Letno poročilo OŠ Renče za leto 2023. Iz tega poročila izhaja podatek, da je zavod v letu 2023 ustvaril presežek prihodkov nad odhodki v skupni višini 355 EUR. V okviru sklepa o podaji soglasja k letnemu poročilu za preteklo leto je Svet zavoda v tretji točki sklepa opredelil, da zaprosi ustanovitelja, </w:t>
      </w:r>
      <w:r w:rsidR="00457335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da namenijo ustvarjen presežek prihodkov iz naslova tržne dejavnosti v višini 237 EUR za nakup kuhinjskih pripomočkov in ustvarjen presežek iz naslova javne službe v višini 118 EUR pustijo nerazporejen.</w:t>
      </w:r>
    </w:p>
    <w:p w14:paraId="42BEDFEC" w14:textId="77777777" w:rsidR="00381565" w:rsidRDefault="00381565" w:rsidP="00457335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5E99B3D" w14:textId="298D3693" w:rsidR="00381565" w:rsidRPr="00381565" w:rsidRDefault="00381565" w:rsidP="00457335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Vlogo zavoda je dne 14. 3. 2024 na svoji osmi seji obravnaval Odbor za družbene dejavnosti. Na podlagi obravnave vloge  je odbor sprejel sklep, s katerim predlaga Občinskemu svetu, naj sprejme sklep, da ostane presežek prihodkov nad odhodki v višini 355 EUR nerazporejen.</w:t>
      </w:r>
    </w:p>
    <w:p w14:paraId="7E868076" w14:textId="77777777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08FB2482" w14:textId="77777777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D91708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CILJI IN NAČELA:</w:t>
      </w:r>
    </w:p>
    <w:p w14:paraId="25B44999" w14:textId="77777777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1078392B" w14:textId="5351B270" w:rsidR="00D91708" w:rsidRPr="00D91708" w:rsidRDefault="00381565" w:rsidP="00D9170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Zavod </w:t>
      </w:r>
      <w:r w:rsidR="00295CC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naj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preseže</w:t>
      </w:r>
      <w:r w:rsidR="00295CC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k prihodkov nad odhodki porabi skladno z določili predpisane zakonodaje, odlokom in soglasjem ustanovitelja.</w:t>
      </w:r>
    </w:p>
    <w:p w14:paraId="0097FBC6" w14:textId="77777777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61A29599" w14:textId="77777777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D91708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FINANČNE IN DRUGE POSLEDICE:</w:t>
      </w:r>
    </w:p>
    <w:p w14:paraId="3551F10A" w14:textId="77777777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2398E580" w14:textId="23CDD52B" w:rsidR="00D91708" w:rsidRPr="00D91708" w:rsidRDefault="00295CC2" w:rsidP="00D917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Ni izkazano, da bi se v primeru podaje soglasja ustanovitelja k predlogu Sveta zavoda presežek prihodkov nad odhodki v višini 237 EUR porabil za nabavo kuhinjskih pripomočkov, ki bi se uporabljali  samo za izvajanje dejavnosti v okviru javne službe.</w:t>
      </w:r>
    </w:p>
    <w:p w14:paraId="3BA92350" w14:textId="460BCFC8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2BC764C" w14:textId="77777777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Pripravila:</w:t>
      </w:r>
    </w:p>
    <w:p w14:paraId="73133153" w14:textId="77777777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Vladka Gal Janeš</w:t>
      </w:r>
    </w:p>
    <w:p w14:paraId="425836B0" w14:textId="77777777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Višja svetovalka I za družbene dejavnosti</w:t>
      </w:r>
    </w:p>
    <w:p w14:paraId="4D36C964" w14:textId="77777777" w:rsidR="00D91708" w:rsidRPr="00D91708" w:rsidRDefault="00D91708" w:rsidP="00D9170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_______________________________________________________________</w:t>
      </w:r>
    </w:p>
    <w:p w14:paraId="49D8D7CC" w14:textId="77777777" w:rsidR="00D91708" w:rsidRPr="00D91708" w:rsidRDefault="00D91708" w:rsidP="00D9170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1EDB781D" w14:textId="77777777" w:rsidR="00D91708" w:rsidRPr="00D91708" w:rsidRDefault="00D91708" w:rsidP="00D9170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Predlog sklepa:</w:t>
      </w:r>
    </w:p>
    <w:p w14:paraId="649BC38E" w14:textId="77777777" w:rsidR="00D91708" w:rsidRPr="00D91708" w:rsidRDefault="00D91708" w:rsidP="00D9170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6AA0251" w14:textId="5ED5CCF8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Na podlagi </w:t>
      </w:r>
      <w:r w:rsidR="00295CC2" w:rsidRPr="00295CC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48. člen</w:t>
      </w:r>
      <w:r w:rsidR="00295CC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a</w:t>
      </w:r>
      <w:r w:rsidR="00295CC2" w:rsidRPr="00295CC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Zakona o zavodih (Uradni list RS, št. 12/91, 8/96, 36/00 – ZPDZC in 127/06 – ZJZP</w:t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), </w:t>
      </w:r>
      <w:r w:rsidR="00295CC2" w:rsidRPr="00295CC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35. člen</w:t>
      </w:r>
      <w:r w:rsidR="00295CC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a</w:t>
      </w:r>
      <w:r w:rsidR="00295CC2" w:rsidRPr="00295CC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Odloka o ustanovitvi javnega zavoda Osnovna šola Lucijana Bratkoviča Bratuša Renče (Uradno glasilo št. 20/96, 13/98 in Uradne objave – Časopis OKO, št. 12/01, 9/2002 ter Uradne objave v Občinskem glasilu, št. 9/08, 11/08, št. 5/10 in 9/2022)</w:t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 ter 18. člena Statuta Občine Renče-Vogrsko (Uradni list RS, št. 22/12 – uradno prečiščeno besedilo, 88/15 in 14/18) je Občinski svet Občine Renče-Vogrsko na ___ seji dne ______ sprejel</w:t>
      </w:r>
    </w:p>
    <w:p w14:paraId="0327AE34" w14:textId="77777777" w:rsidR="00D91708" w:rsidRPr="00D91708" w:rsidRDefault="00D91708" w:rsidP="00D9170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2452AD07" w14:textId="77777777" w:rsidR="00D91708" w:rsidRPr="00D91708" w:rsidRDefault="00D91708" w:rsidP="00D91708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</w:pPr>
      <w:r w:rsidRPr="00D91708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>S K L E P</w:t>
      </w:r>
    </w:p>
    <w:p w14:paraId="12C49880" w14:textId="77777777" w:rsidR="00D91708" w:rsidRPr="00D91708" w:rsidRDefault="00D91708" w:rsidP="00D9170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1B1B1E66" w14:textId="77777777" w:rsidR="00D91708" w:rsidRPr="00D91708" w:rsidRDefault="00D91708" w:rsidP="00D91708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1. </w:t>
      </w:r>
    </w:p>
    <w:p w14:paraId="001EAFC5" w14:textId="3E11360D" w:rsidR="00295CC2" w:rsidRDefault="00D91708" w:rsidP="00295CC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Občinski svet Občine Renče-Vogrsko daje soglasje k predlogu Osnovne šole Lucijana Bratkoviča Bratuša Renče, Trg 31, 5292 Renče, da </w:t>
      </w:r>
      <w:r w:rsidR="00295CC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ustvarjen presežek prihodkov nad odhodki iz naslova tržne dejavnosti v višini 237 EUR nameni za nakup kuhinjskih pripomočkov, ustvarjen presežek prihodkov nad odhodki iz naslova javne službe v višini 118 EUR </w:t>
      </w:r>
      <w:r w:rsidR="00BB08ED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pa </w:t>
      </w:r>
      <w:r w:rsidR="00295CC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pusti nerazporejen.</w:t>
      </w:r>
    </w:p>
    <w:p w14:paraId="360FDD49" w14:textId="3449C5F9" w:rsidR="00D91708" w:rsidRPr="00D91708" w:rsidRDefault="00D91708" w:rsidP="00295CC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19A904E6" w14:textId="77777777" w:rsidR="00D91708" w:rsidRPr="00D91708" w:rsidRDefault="00D91708" w:rsidP="00D91708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96DD735" w14:textId="597A0705" w:rsidR="00D91708" w:rsidRPr="00D91708" w:rsidRDefault="00BB08ED" w:rsidP="00D91708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2.</w:t>
      </w:r>
    </w:p>
    <w:p w14:paraId="35E60544" w14:textId="1F9ED028" w:rsidR="00D91708" w:rsidRPr="00D91708" w:rsidRDefault="00BC59D1" w:rsidP="00D9170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hAnsi="Arial" w:cs="Arial"/>
          <w:kern w:val="0"/>
          <w:sz w:val="20"/>
          <w:szCs w:val="20"/>
          <w14:ligatures w14:val="none"/>
        </w:rPr>
        <w:t>Ta sklep prične veljati takoj.</w:t>
      </w:r>
      <w:r w:rsidR="00D91708" w:rsidRPr="00D9170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="00D91708" w:rsidRPr="00D9170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="00D91708" w:rsidRPr="00D9170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="00D91708" w:rsidRPr="00D9170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="00D91708" w:rsidRPr="00D9170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</w:p>
    <w:p w14:paraId="5464C297" w14:textId="77777777" w:rsidR="00D91708" w:rsidRPr="00D91708" w:rsidRDefault="00D91708" w:rsidP="00D9170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388A003C" w14:textId="77777777" w:rsidR="00D91708" w:rsidRPr="00D91708" w:rsidRDefault="00D91708" w:rsidP="00D9170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2137CE6C" w14:textId="77777777" w:rsidR="00D91708" w:rsidRPr="00D91708" w:rsidRDefault="00D91708" w:rsidP="00D9170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4F6C9CA" w14:textId="0163A56C" w:rsidR="00D91708" w:rsidRPr="00D91708" w:rsidRDefault="00D91708" w:rsidP="00D9170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Številka:</w:t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</w:p>
    <w:p w14:paraId="3AA8524E" w14:textId="4736A148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Bukovica,</w:t>
      </w:r>
      <w:r w:rsidR="00BB08ED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dne ____ 2024</w:t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  <w:t xml:space="preserve">  </w:t>
      </w:r>
      <w:r w:rsidR="00BB08ED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</w:t>
      </w:r>
    </w:p>
    <w:p w14:paraId="666A40FE" w14:textId="77777777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154C3521" w14:textId="7D04C986" w:rsidR="00D91708" w:rsidRDefault="00BB08ED" w:rsidP="00D91708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BB08ED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Župan</w:t>
      </w:r>
    </w:p>
    <w:p w14:paraId="3EABF746" w14:textId="14A22EA2" w:rsidR="00BB08ED" w:rsidRPr="00D91708" w:rsidRDefault="00BB08ED" w:rsidP="00BB08E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ab/>
        <w:t xml:space="preserve">      </w:t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Tarik Žigon l. r.</w:t>
      </w:r>
    </w:p>
    <w:p w14:paraId="72A6549D" w14:textId="77777777" w:rsidR="00BC59D1" w:rsidRDefault="00BC59D1" w:rsidP="00BC59D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03A7252" w14:textId="77777777" w:rsidR="00BC59D1" w:rsidRDefault="00BC59D1" w:rsidP="00BC59D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20726B9B" w14:textId="72090CBC" w:rsidR="00BC59D1" w:rsidRPr="00D91708" w:rsidRDefault="00BC59D1" w:rsidP="00BC59D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Predlog sklepa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(Upoštevan predlog Odbora za družbene dejavnosti)</w:t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:</w:t>
      </w:r>
    </w:p>
    <w:p w14:paraId="6096CB22" w14:textId="77777777" w:rsidR="00BC59D1" w:rsidRPr="00D91708" w:rsidRDefault="00BC59D1" w:rsidP="00BC59D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13FBCF8A" w14:textId="77777777" w:rsidR="00BC59D1" w:rsidRPr="00D91708" w:rsidRDefault="00BC59D1" w:rsidP="00BC59D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Na podlagi </w:t>
      </w:r>
      <w:r w:rsidRPr="00295CC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48. člen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a</w:t>
      </w:r>
      <w:r w:rsidRPr="00295CC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Zakona o zavodih (Uradni list RS, št. 12/91, 8/96, 36/00 – ZPDZC in 127/06 – ZJZP</w:t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), </w:t>
      </w:r>
      <w:r w:rsidRPr="00295CC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35. člen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a</w:t>
      </w:r>
      <w:r w:rsidRPr="00295CC2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Odloka o ustanovitvi javnega zavoda Osnovna šola Lucijana Bratkoviča Bratuša Renče (Uradno glasilo št. 20/96, 13/98 in Uradne objave – Časopis OKO, št. 12/01, 9/2002 ter Uradne objave v Občinskem glasilu, št. 9/08, 11/08, št. 5/10 in 9/2022)</w:t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 ter 18. člena Statuta Občine Renče-Vogrsko (Uradni list RS, št. 22/12 – uradno prečiščeno besedilo, 88/15 in 14/18) je Občinski svet Občine Renče-Vogrsko na ___ seji dne ______ sprejel</w:t>
      </w:r>
    </w:p>
    <w:p w14:paraId="3E55A219" w14:textId="77777777" w:rsidR="00BC59D1" w:rsidRPr="00D91708" w:rsidRDefault="00BC59D1" w:rsidP="00BC59D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6385F10" w14:textId="77777777" w:rsidR="00BC59D1" w:rsidRPr="00D91708" w:rsidRDefault="00BC59D1" w:rsidP="00BC59D1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</w:pPr>
      <w:r w:rsidRPr="00D91708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>S K L E P</w:t>
      </w:r>
    </w:p>
    <w:p w14:paraId="6BA3DBAD" w14:textId="77777777" w:rsidR="00BC59D1" w:rsidRPr="00D91708" w:rsidRDefault="00BC59D1" w:rsidP="00BC59D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082F6739" w14:textId="77777777" w:rsidR="00BC59D1" w:rsidRPr="00D91708" w:rsidRDefault="00BC59D1" w:rsidP="00BC59D1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1. </w:t>
      </w:r>
    </w:p>
    <w:p w14:paraId="1D97B46D" w14:textId="2E4EF921" w:rsidR="00BC59D1" w:rsidRDefault="00BC59D1" w:rsidP="00BC59D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Presežek prihodkov nad odhodki, ki ga je </w:t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Osnovn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a</w:t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šol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a</w:t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Lucijana Bratkoviča Bratuša Renče, Trg 31, 5292 Renče,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 letu 2023 ustvarila v skupni višini 355 EUR, ostane v celoti nerazporejen.</w:t>
      </w:r>
    </w:p>
    <w:p w14:paraId="5FF16E58" w14:textId="77777777" w:rsidR="00BC59D1" w:rsidRPr="00D91708" w:rsidRDefault="00BC59D1" w:rsidP="00BC59D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C232160" w14:textId="77777777" w:rsidR="00BC59D1" w:rsidRPr="00D91708" w:rsidRDefault="00BC59D1" w:rsidP="00BC59D1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AC43FEE" w14:textId="77777777" w:rsidR="00BC59D1" w:rsidRPr="00D91708" w:rsidRDefault="00BC59D1" w:rsidP="00BC59D1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2.</w:t>
      </w:r>
    </w:p>
    <w:p w14:paraId="55D5886B" w14:textId="70A8A99B" w:rsidR="00BC59D1" w:rsidRPr="00D91708" w:rsidRDefault="00BC59D1" w:rsidP="00BC59D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hAnsi="Arial" w:cs="Arial"/>
          <w:kern w:val="0"/>
          <w:sz w:val="20"/>
          <w:szCs w:val="20"/>
          <w14:ligatures w14:val="none"/>
        </w:rPr>
        <w:t>Ta sklep prične veljati takoj.</w:t>
      </w:r>
      <w:r w:rsidRPr="00D9170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</w:p>
    <w:p w14:paraId="7BDF4D8E" w14:textId="77777777" w:rsidR="00BC59D1" w:rsidRPr="00D91708" w:rsidRDefault="00BC59D1" w:rsidP="00BC59D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0AF34E0" w14:textId="77777777" w:rsidR="00BC59D1" w:rsidRPr="00D91708" w:rsidRDefault="00BC59D1" w:rsidP="00BC59D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1C8C4B9F" w14:textId="77777777" w:rsidR="00BC59D1" w:rsidRPr="00D91708" w:rsidRDefault="00BC59D1" w:rsidP="00BC59D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D3DC8DC" w14:textId="77777777" w:rsidR="00BC59D1" w:rsidRPr="00D91708" w:rsidRDefault="00BC59D1" w:rsidP="00BC59D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Številka:</w:t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</w:p>
    <w:p w14:paraId="564F7F4E" w14:textId="77777777" w:rsidR="00BC59D1" w:rsidRPr="00D91708" w:rsidRDefault="00BC59D1" w:rsidP="00BC59D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Bukovica,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dne ____ 2024</w:t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  <w:t xml:space="preserve"> 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</w:t>
      </w:r>
    </w:p>
    <w:p w14:paraId="42D3B5F1" w14:textId="77777777" w:rsidR="00BC59D1" w:rsidRPr="00D91708" w:rsidRDefault="00BC59D1" w:rsidP="00BC59D1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4EF7B9E3" w14:textId="77777777" w:rsidR="00BC59D1" w:rsidRDefault="00BC59D1" w:rsidP="00BC59D1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BB08ED"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>Župan</w:t>
      </w:r>
    </w:p>
    <w:p w14:paraId="10A3236B" w14:textId="77777777" w:rsidR="00BC59D1" w:rsidRPr="00D91708" w:rsidRDefault="00BC59D1" w:rsidP="00BC59D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  <w:tab/>
        <w:t xml:space="preserve">      </w:t>
      </w:r>
      <w:r w:rsidRPr="00D9170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Tarik Žigon l. r.</w:t>
      </w:r>
    </w:p>
    <w:p w14:paraId="042A0945" w14:textId="663A096D" w:rsidR="00BB08ED" w:rsidRPr="00BB08ED" w:rsidRDefault="00BB08ED" w:rsidP="00D91708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279EF933" w14:textId="77777777" w:rsidR="00D91708" w:rsidRPr="00D91708" w:rsidRDefault="00D91708" w:rsidP="00D91708">
      <w:pPr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18CAD493" w14:textId="77777777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3849C3F9" w14:textId="77777777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00F0069F" w14:textId="77777777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133AA91A" w14:textId="77777777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sl-SI"/>
          <w14:ligatures w14:val="none"/>
        </w:rPr>
      </w:pPr>
    </w:p>
    <w:p w14:paraId="4C760BC9" w14:textId="77777777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7AEEBFB" w14:textId="77777777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3C9FE921" w14:textId="77777777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DBF74DF" w14:textId="77777777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14F37FB5" w14:textId="77777777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C76FD6C" w14:textId="77777777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BE4FAB0" w14:textId="77777777" w:rsidR="00D91708" w:rsidRPr="00D91708" w:rsidRDefault="00D91708" w:rsidP="00D9170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A7225B3" w14:textId="77777777" w:rsidR="00D91708" w:rsidRPr="00D91708" w:rsidRDefault="00D91708" w:rsidP="00D9170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081D3639" w14:textId="77777777" w:rsidR="00D91708" w:rsidRPr="00D91708" w:rsidRDefault="00D91708" w:rsidP="00D9170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3B5D54A" w14:textId="77777777" w:rsidR="00D91708" w:rsidRPr="00D91708" w:rsidRDefault="00D91708" w:rsidP="00D9170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1C454A5" w14:textId="77777777" w:rsidR="00D91708" w:rsidRPr="00D91708" w:rsidRDefault="00D91708" w:rsidP="00D9170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3F012D5" w14:textId="77777777" w:rsidR="00D91708" w:rsidRPr="00D91708" w:rsidRDefault="00D91708" w:rsidP="00D9170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C0F6DDD" w14:textId="77777777" w:rsidR="00D91708" w:rsidRPr="00D91708" w:rsidRDefault="00D91708" w:rsidP="00D91708">
      <w:pPr>
        <w:spacing w:after="200" w:line="276" w:lineRule="auto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56F6941F" w14:textId="77777777" w:rsidR="00D91708" w:rsidRPr="00D91708" w:rsidRDefault="00D91708" w:rsidP="00D91708">
      <w:pPr>
        <w:spacing w:after="200" w:line="276" w:lineRule="auto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4C9D4520" w14:textId="77777777" w:rsidR="00D91708" w:rsidRPr="00D91708" w:rsidRDefault="00D91708" w:rsidP="00D91708">
      <w:pPr>
        <w:spacing w:after="200" w:line="276" w:lineRule="auto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4871AAA0" w14:textId="77777777" w:rsidR="00D91708" w:rsidRPr="00D91708" w:rsidRDefault="00D91708" w:rsidP="00D91708">
      <w:pPr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4BAB9956" w14:textId="77777777" w:rsidR="00D91708" w:rsidRPr="00D91708" w:rsidRDefault="00D91708" w:rsidP="00D91708">
      <w:pPr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11265096" w14:textId="77777777" w:rsidR="00D91708" w:rsidRPr="00D91708" w:rsidRDefault="00D91708" w:rsidP="00D91708">
      <w:pPr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5F24B282" w14:textId="77777777" w:rsidR="00C5759D" w:rsidRPr="00D91708" w:rsidRDefault="00C5759D">
      <w:pPr>
        <w:rPr>
          <w:rFonts w:ascii="Arial" w:hAnsi="Arial" w:cs="Arial"/>
          <w:sz w:val="20"/>
          <w:szCs w:val="20"/>
        </w:rPr>
      </w:pPr>
    </w:p>
    <w:sectPr w:rsidR="00C5759D" w:rsidRPr="00D91708" w:rsidSect="00D917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D3B0" w14:textId="77777777" w:rsidR="00BC59D1" w:rsidRDefault="00BC59D1">
      <w:pPr>
        <w:spacing w:after="0" w:line="240" w:lineRule="auto"/>
      </w:pPr>
      <w:r>
        <w:separator/>
      </w:r>
    </w:p>
  </w:endnote>
  <w:endnote w:type="continuationSeparator" w:id="0">
    <w:p w14:paraId="63831938" w14:textId="77777777" w:rsidR="00BC59D1" w:rsidRDefault="00BC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A28E" w14:textId="77777777" w:rsidR="00BC59D1" w:rsidRDefault="00BC59D1">
      <w:pPr>
        <w:spacing w:after="0" w:line="240" w:lineRule="auto"/>
      </w:pPr>
      <w:r>
        <w:separator/>
      </w:r>
    </w:p>
  </w:footnote>
  <w:footnote w:type="continuationSeparator" w:id="0">
    <w:p w14:paraId="396B53B2" w14:textId="77777777" w:rsidR="00BC59D1" w:rsidRDefault="00BC5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F176" w14:textId="68E47FB2" w:rsidR="005E6FF1" w:rsidRPr="00F3626F" w:rsidRDefault="00F3626F" w:rsidP="00E001A8">
    <w:pPr>
      <w:pStyle w:val="Glava"/>
      <w:jc w:val="right"/>
      <w:rPr>
        <w:rFonts w:ascii="Arial" w:hAnsi="Arial" w:cs="Arial"/>
        <w:color w:val="999999"/>
        <w:sz w:val="36"/>
        <w:szCs w:val="36"/>
      </w:rPr>
    </w:pPr>
    <w:r>
      <w:rPr>
        <w:rFonts w:ascii="Arial" w:hAnsi="Arial" w:cs="Arial"/>
        <w:color w:val="999999"/>
        <w:sz w:val="36"/>
        <w:szCs w:val="36"/>
      </w:rPr>
      <w:t>10</w:t>
    </w:r>
    <w:r w:rsidR="005E6FF1" w:rsidRPr="00F3626F">
      <w:rPr>
        <w:rFonts w:ascii="Arial" w:hAnsi="Arial" w:cs="Arial"/>
        <w:color w:val="999999"/>
        <w:sz w:val="36"/>
        <w:szCs w:val="36"/>
      </w:rPr>
      <w:t>. redna seja</w:t>
    </w:r>
    <w:r w:rsidR="005E6FF1" w:rsidRPr="00F3626F">
      <w:rPr>
        <w:rFonts w:ascii="Arial" w:hAnsi="Arial" w:cs="Arial"/>
        <w:color w:val="999999"/>
        <w:sz w:val="36"/>
        <w:szCs w:val="36"/>
      </w:rPr>
      <w:tab/>
    </w:r>
    <w:r w:rsidR="005E6FF1" w:rsidRPr="00F3626F">
      <w:rPr>
        <w:rFonts w:ascii="Arial" w:hAnsi="Arial" w:cs="Arial"/>
        <w:color w:val="999999"/>
        <w:sz w:val="36"/>
        <w:szCs w:val="36"/>
      </w:rPr>
      <w:tab/>
    </w:r>
    <w:r>
      <w:rPr>
        <w:rFonts w:ascii="Arial" w:hAnsi="Arial" w:cs="Arial"/>
        <w:color w:val="999999"/>
        <w:sz w:val="36"/>
        <w:szCs w:val="36"/>
      </w:rPr>
      <w:t>9</w:t>
    </w:r>
    <w:r w:rsidR="005E6FF1" w:rsidRPr="00F3626F">
      <w:rPr>
        <w:rFonts w:ascii="Arial" w:hAnsi="Arial" w:cs="Arial"/>
        <w:color w:val="999999"/>
        <w:sz w:val="36"/>
        <w:szCs w:val="36"/>
      </w:rPr>
      <w:t>. točka</w:t>
    </w:r>
  </w:p>
  <w:p w14:paraId="59662464" w14:textId="77777777" w:rsidR="005E6FF1" w:rsidRDefault="005E6FF1">
    <w:pPr>
      <w:pStyle w:val="Glava"/>
    </w:pPr>
  </w:p>
  <w:p w14:paraId="3E8EF914" w14:textId="77777777" w:rsidR="005E6FF1" w:rsidRDefault="005E6FF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5A55"/>
    <w:multiLevelType w:val="hybridMultilevel"/>
    <w:tmpl w:val="D53AC8D2"/>
    <w:lvl w:ilvl="0" w:tplc="9F306B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20ABA"/>
    <w:multiLevelType w:val="hybridMultilevel"/>
    <w:tmpl w:val="82C2F3F0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632D2"/>
    <w:multiLevelType w:val="hybridMultilevel"/>
    <w:tmpl w:val="32402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291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10AAF"/>
    <w:multiLevelType w:val="hybridMultilevel"/>
    <w:tmpl w:val="5E706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8635924">
    <w:abstractNumId w:val="1"/>
  </w:num>
  <w:num w:numId="2" w16cid:durableId="1386830612">
    <w:abstractNumId w:val="3"/>
  </w:num>
  <w:num w:numId="3" w16cid:durableId="1502232695">
    <w:abstractNumId w:val="2"/>
  </w:num>
  <w:num w:numId="4" w16cid:durableId="1411583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08"/>
    <w:rsid w:val="000C2BC9"/>
    <w:rsid w:val="001C587F"/>
    <w:rsid w:val="00295CC2"/>
    <w:rsid w:val="00364C21"/>
    <w:rsid w:val="00381565"/>
    <w:rsid w:val="00457335"/>
    <w:rsid w:val="00567ED2"/>
    <w:rsid w:val="005E6FF1"/>
    <w:rsid w:val="008F46A7"/>
    <w:rsid w:val="009B5B08"/>
    <w:rsid w:val="00B86558"/>
    <w:rsid w:val="00BB08ED"/>
    <w:rsid w:val="00BC59D1"/>
    <w:rsid w:val="00C118E1"/>
    <w:rsid w:val="00C5759D"/>
    <w:rsid w:val="00CA5E46"/>
    <w:rsid w:val="00D91708"/>
    <w:rsid w:val="00F3626F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CF15"/>
  <w15:chartTrackingRefBased/>
  <w15:docId w15:val="{20FE3955-D7CF-4605-A87D-B60E97C6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91708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GlavaZnak">
    <w:name w:val="Glava Znak"/>
    <w:basedOn w:val="Privzetapisavaodstavka"/>
    <w:link w:val="Glava"/>
    <w:uiPriority w:val="99"/>
    <w:rsid w:val="00D91708"/>
    <w:rPr>
      <w:kern w:val="0"/>
      <w14:ligatures w14:val="none"/>
    </w:rPr>
  </w:style>
  <w:style w:type="table" w:styleId="Tabelamrea">
    <w:name w:val="Table Grid"/>
    <w:basedOn w:val="Navadnatabela"/>
    <w:rsid w:val="00D9170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F3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6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4</cp:revision>
  <dcterms:created xsi:type="dcterms:W3CDTF">2024-03-19T12:36:00Z</dcterms:created>
  <dcterms:modified xsi:type="dcterms:W3CDTF">2024-03-19T13:02:00Z</dcterms:modified>
</cp:coreProperties>
</file>